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1C" w:rsidRDefault="0047704B">
      <w:bookmarkStart w:id="0" w:name="_Toc532852345"/>
      <w:r>
        <w:rPr>
          <w:rFonts w:hint="eastAsia"/>
        </w:rPr>
        <w:t>別記様式</w:t>
      </w:r>
      <w:r>
        <w:t>第14号（経営管理実施権</w:t>
      </w:r>
      <w:r>
        <w:rPr>
          <w:rFonts w:hint="eastAsia"/>
        </w:rPr>
        <w:t>の</w:t>
      </w:r>
      <w:r>
        <w:t>設定</w:t>
      </w:r>
      <w:r>
        <w:rPr>
          <w:rFonts w:hint="eastAsia"/>
        </w:rPr>
        <w:t>を</w:t>
      </w:r>
      <w:r>
        <w:t>受ける民間事業者</w:t>
      </w:r>
      <w:r>
        <w:rPr>
          <w:rFonts w:hint="eastAsia"/>
        </w:rPr>
        <w:t>の</w:t>
      </w:r>
      <w:r>
        <w:t>選定</w:t>
      </w:r>
      <w:r>
        <w:rPr>
          <w:rFonts w:hint="eastAsia"/>
        </w:rPr>
        <w:t>委員会要綱</w:t>
      </w:r>
      <w:r>
        <w:t>）</w:t>
      </w:r>
      <w:bookmarkEnd w:id="0"/>
    </w:p>
    <w:p w:rsidR="003B401C" w:rsidRDefault="003B401C">
      <w:pPr>
        <w:rPr>
          <w:color w:val="000000"/>
          <w:sz w:val="22"/>
        </w:rPr>
      </w:pPr>
    </w:p>
    <w:p w:rsidR="003B401C" w:rsidRDefault="009F6967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皆野町</w:t>
      </w:r>
      <w:r w:rsidR="0047704B">
        <w:rPr>
          <w:rFonts w:hint="eastAsia"/>
          <w:color w:val="000000"/>
          <w:sz w:val="22"/>
        </w:rPr>
        <w:t>経営管理実施権の設定を</w:t>
      </w:r>
      <w:r w:rsidR="0047704B">
        <w:rPr>
          <w:color w:val="000000"/>
          <w:sz w:val="22"/>
        </w:rPr>
        <w:t>受ける民間事業者</w:t>
      </w:r>
      <w:r w:rsidR="0047704B">
        <w:rPr>
          <w:rFonts w:hint="eastAsia"/>
          <w:color w:val="000000"/>
          <w:sz w:val="22"/>
        </w:rPr>
        <w:t>の</w:t>
      </w:r>
      <w:r w:rsidR="0047704B">
        <w:rPr>
          <w:color w:val="000000"/>
          <w:sz w:val="22"/>
        </w:rPr>
        <w:t>選定委員会</w:t>
      </w:r>
      <w:r w:rsidR="0047704B">
        <w:rPr>
          <w:rFonts w:hint="eastAsia"/>
          <w:color w:val="000000"/>
          <w:sz w:val="22"/>
        </w:rPr>
        <w:t>要綱</w:t>
      </w:r>
    </w:p>
    <w:p w:rsidR="003B401C" w:rsidRDefault="003B401C">
      <w:pPr>
        <w:rPr>
          <w:color w:val="000000"/>
          <w:sz w:val="22"/>
        </w:rPr>
      </w:pP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設置</w:t>
      </w:r>
      <w:r>
        <w:rPr>
          <w:color w:val="000000"/>
          <w:sz w:val="22"/>
        </w:rPr>
        <w:t>)</w:t>
      </w:r>
    </w:p>
    <w:p w:rsidR="003B401C" w:rsidRDefault="0047704B">
      <w:pPr>
        <w:ind w:left="224" w:hangingChars="100" w:hanging="22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第１条　森林経営管理法</w:t>
      </w:r>
      <w:r>
        <w:rPr>
          <w:color w:val="000000"/>
          <w:sz w:val="22"/>
        </w:rPr>
        <w:t>第36条第３項</w:t>
      </w:r>
      <w:r>
        <w:rPr>
          <w:rFonts w:hint="eastAsia"/>
          <w:color w:val="000000"/>
          <w:sz w:val="22"/>
        </w:rPr>
        <w:t>の規定による</w:t>
      </w:r>
      <w:r>
        <w:rPr>
          <w:color w:val="000000"/>
          <w:sz w:val="22"/>
        </w:rPr>
        <w:t>経営管理実施権</w:t>
      </w:r>
      <w:r>
        <w:rPr>
          <w:rFonts w:hint="eastAsia"/>
          <w:color w:val="000000"/>
          <w:sz w:val="22"/>
        </w:rPr>
        <w:t>の</w:t>
      </w:r>
      <w:r>
        <w:rPr>
          <w:color w:val="000000"/>
          <w:sz w:val="22"/>
        </w:rPr>
        <w:t>設定</w:t>
      </w:r>
      <w:r>
        <w:rPr>
          <w:rFonts w:hint="eastAsia"/>
          <w:color w:val="000000"/>
          <w:sz w:val="22"/>
        </w:rPr>
        <w:t>を</w:t>
      </w:r>
      <w:r>
        <w:rPr>
          <w:color w:val="000000"/>
          <w:sz w:val="22"/>
        </w:rPr>
        <w:t>受ける民間事業者の選定</w:t>
      </w:r>
      <w:r>
        <w:rPr>
          <w:rFonts w:hint="eastAsia"/>
          <w:color w:val="000000"/>
          <w:sz w:val="22"/>
        </w:rPr>
        <w:t>について、公正な</w:t>
      </w:r>
      <w:r>
        <w:rPr>
          <w:color w:val="000000"/>
          <w:sz w:val="22"/>
        </w:rPr>
        <w:t>方法により</w:t>
      </w:r>
      <w:r>
        <w:rPr>
          <w:rFonts w:hint="eastAsia"/>
          <w:color w:val="000000"/>
          <w:sz w:val="22"/>
        </w:rPr>
        <w:t>行う</w:t>
      </w:r>
      <w:r>
        <w:rPr>
          <w:color w:val="000000"/>
          <w:sz w:val="22"/>
        </w:rPr>
        <w:t>とともに選定過程の透明化を図る</w:t>
      </w:r>
      <w:r>
        <w:rPr>
          <w:rFonts w:hint="eastAsia"/>
          <w:color w:val="000000"/>
          <w:sz w:val="22"/>
        </w:rPr>
        <w:t>ため、経営管理実施権の設定を</w:t>
      </w:r>
      <w:r>
        <w:rPr>
          <w:color w:val="000000"/>
          <w:sz w:val="22"/>
        </w:rPr>
        <w:t>受ける民間事業者</w:t>
      </w:r>
      <w:r>
        <w:rPr>
          <w:rFonts w:hint="eastAsia"/>
          <w:color w:val="000000"/>
          <w:sz w:val="22"/>
        </w:rPr>
        <w:t>の</w:t>
      </w:r>
      <w:r>
        <w:rPr>
          <w:color w:val="000000"/>
          <w:sz w:val="22"/>
        </w:rPr>
        <w:t>選定委員会(</w:t>
      </w:r>
      <w:r>
        <w:rPr>
          <w:rFonts w:hint="eastAsia"/>
          <w:color w:val="000000"/>
          <w:sz w:val="22"/>
        </w:rPr>
        <w:t>以下「委員会」という。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を置く。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所掌事項</w:t>
      </w:r>
      <w:r>
        <w:rPr>
          <w:color w:val="000000"/>
          <w:sz w:val="22"/>
        </w:rPr>
        <w:t>)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第２条　委員会は、次に掲げる事項を処理するものとする。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１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 xml:space="preserve">　民間事業者の企画提案</w:t>
      </w:r>
      <w:r>
        <w:rPr>
          <w:color w:val="000000"/>
          <w:sz w:val="22"/>
        </w:rPr>
        <w:t>書の</w:t>
      </w:r>
      <w:r>
        <w:rPr>
          <w:rFonts w:hint="eastAsia"/>
          <w:color w:val="000000"/>
          <w:sz w:val="22"/>
        </w:rPr>
        <w:t>審査及び民間事業者</w:t>
      </w:r>
      <w:r>
        <w:rPr>
          <w:color w:val="000000"/>
          <w:sz w:val="22"/>
        </w:rPr>
        <w:t>の</w:t>
      </w:r>
      <w:r>
        <w:rPr>
          <w:rFonts w:hint="eastAsia"/>
          <w:color w:val="000000"/>
          <w:sz w:val="22"/>
        </w:rPr>
        <w:t>選定に関すること。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２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 xml:space="preserve">　審査に必要な事項に関すること。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委員</w:t>
      </w:r>
      <w:r>
        <w:rPr>
          <w:color w:val="000000"/>
          <w:sz w:val="22"/>
        </w:rPr>
        <w:t>)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第３条　委員会は、秩父地域森林林業活性化協議会幹事会の委員で組織する。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委員の任期</w:t>
      </w:r>
      <w:r>
        <w:rPr>
          <w:color w:val="000000"/>
          <w:sz w:val="22"/>
        </w:rPr>
        <w:t>)</w:t>
      </w:r>
    </w:p>
    <w:p w:rsidR="003B401C" w:rsidRDefault="0047704B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第４条　委員の任期は、第２条に定める任務が終了するまでとする。</w:t>
      </w:r>
    </w:p>
    <w:p w:rsidR="003B401C" w:rsidRDefault="0047704B">
      <w:pPr>
        <w:ind w:left="224" w:hangingChars="100" w:hanging="22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委員に欠員が生じた場合には、補欠の委員を選任できるものとし、補欠委員の任期は前任者の残任期間とする。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委員長及び副委員長</w:t>
      </w:r>
      <w:r>
        <w:rPr>
          <w:color w:val="000000"/>
          <w:sz w:val="22"/>
        </w:rPr>
        <w:t>)</w:t>
      </w:r>
    </w:p>
    <w:p w:rsidR="003B401C" w:rsidRDefault="0047704B">
      <w:pPr>
        <w:ind w:left="224" w:hangingChars="100" w:hanging="22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第５条　委員会に委員長を置き、委員長は幹事長をもって充て、副委員長は</w:t>
      </w:r>
      <w:r w:rsidR="00D44675">
        <w:rPr>
          <w:rFonts w:hint="eastAsia"/>
          <w:color w:val="000000"/>
          <w:sz w:val="22"/>
        </w:rPr>
        <w:t>皆野町</w:t>
      </w:r>
      <w:r w:rsidR="00A125D6">
        <w:rPr>
          <w:rFonts w:hint="eastAsia"/>
          <w:color w:val="000000"/>
          <w:sz w:val="22"/>
        </w:rPr>
        <w:t>産業観光課長</w:t>
      </w:r>
      <w:r>
        <w:rPr>
          <w:rFonts w:hint="eastAsia"/>
          <w:color w:val="000000"/>
          <w:sz w:val="22"/>
        </w:rPr>
        <w:t>をもって充てる。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委員長は、会務を総理し委員会を代表する。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３　副委員長は委員長を補佐し、委員長に事故あるときはその職務を代理する。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会議</w:t>
      </w:r>
      <w:r>
        <w:rPr>
          <w:color w:val="000000"/>
          <w:sz w:val="22"/>
        </w:rPr>
        <w:t>)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第６条　委員会は、必要に応じて委員長が招集する。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委員会は、委員の過半数が出席しなければ会議を開くことはできない。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３　会議の議事は出席委員の過半数をもって決し、可否同数のときは委員長の決するところによる。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４　申請団体に所属する委員は、当該審査及び選定に参加できない。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委員以外の出席</w:t>
      </w:r>
      <w:r>
        <w:rPr>
          <w:color w:val="000000"/>
          <w:sz w:val="22"/>
        </w:rPr>
        <w:t>)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第７条　委員長は、必要に応じて委員以外の者を出席させて、意見又は説明を聞くことができる。</w:t>
      </w:r>
    </w:p>
    <w:p w:rsidR="00A125D6" w:rsidRPr="00A125D6" w:rsidRDefault="0047704B">
      <w:pPr>
        <w:rPr>
          <w:rFonts w:hint="eastAsia"/>
          <w:sz w:val="22"/>
        </w:rPr>
      </w:pPr>
      <w:r w:rsidRPr="00A125D6">
        <w:rPr>
          <w:rFonts w:hint="eastAsia"/>
          <w:sz w:val="22"/>
        </w:rPr>
        <w:t>２　委員長は、必要に応じて民間事業者を出席させて、意見又は説明を聞くことができる。</w:t>
      </w:r>
      <w:bookmarkStart w:id="1" w:name="_GoBack"/>
      <w:bookmarkEnd w:id="1"/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庶務</w:t>
      </w:r>
      <w:r>
        <w:rPr>
          <w:color w:val="000000"/>
          <w:sz w:val="22"/>
        </w:rPr>
        <w:t>)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第８条　委員会の庶務は、</w:t>
      </w:r>
      <w:r w:rsidR="00D44675">
        <w:rPr>
          <w:rFonts w:hint="eastAsia"/>
          <w:color w:val="000000"/>
          <w:sz w:val="22"/>
        </w:rPr>
        <w:t>皆野町</w:t>
      </w:r>
      <w:r w:rsidR="00F63515" w:rsidRPr="00F63515">
        <w:rPr>
          <w:rFonts w:hint="eastAsia"/>
          <w:sz w:val="22"/>
        </w:rPr>
        <w:t>産業観光課</w:t>
      </w:r>
      <w:r>
        <w:rPr>
          <w:rFonts w:hint="eastAsia"/>
          <w:color w:val="000000"/>
          <w:sz w:val="22"/>
        </w:rPr>
        <w:t>において処理する。</w:t>
      </w:r>
    </w:p>
    <w:p w:rsidR="003B401C" w:rsidRDefault="0047704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その他</w:t>
      </w:r>
      <w:r>
        <w:rPr>
          <w:color w:val="000000"/>
          <w:sz w:val="22"/>
        </w:rPr>
        <w:t>)</w:t>
      </w:r>
    </w:p>
    <w:p w:rsidR="003B401C" w:rsidRDefault="0047704B">
      <w:pPr>
        <w:ind w:left="224" w:hangingChars="100" w:hanging="22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第９条　この要綱に定めるもののほか、委員会の運営等に必要な事項は、委員長が委員会に諮って定める。</w:t>
      </w:r>
    </w:p>
    <w:p w:rsidR="003B401C" w:rsidRDefault="0047704B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附　則</w:t>
      </w:r>
    </w:p>
    <w:p w:rsidR="003B401C" w:rsidRDefault="00F63515">
      <w:pPr>
        <w:rPr>
          <w:sz w:val="18"/>
        </w:rPr>
      </w:pPr>
      <w:r>
        <w:rPr>
          <w:rFonts w:hint="eastAsia"/>
          <w:color w:val="000000"/>
          <w:sz w:val="22"/>
        </w:rPr>
        <w:t xml:space="preserve">　この要綱は、令和３</w:t>
      </w:r>
      <w:r w:rsidR="002D7552">
        <w:rPr>
          <w:rFonts w:hint="eastAsia"/>
          <w:color w:val="000000"/>
          <w:sz w:val="22"/>
        </w:rPr>
        <w:t>年１１月１０</w:t>
      </w:r>
      <w:r w:rsidR="0047704B">
        <w:rPr>
          <w:rFonts w:hint="eastAsia"/>
          <w:color w:val="000000"/>
          <w:sz w:val="22"/>
        </w:rPr>
        <w:t>日から施行する。</w:t>
      </w:r>
    </w:p>
    <w:p w:rsidR="003B401C" w:rsidRDefault="003B401C">
      <w:pPr>
        <w:ind w:firstLineChars="100" w:firstLine="184"/>
        <w:rPr>
          <w:sz w:val="18"/>
        </w:rPr>
      </w:pPr>
    </w:p>
    <w:p w:rsidR="003B401C" w:rsidRDefault="003B401C">
      <w:pPr>
        <w:ind w:firstLineChars="100" w:firstLine="184"/>
        <w:rPr>
          <w:sz w:val="18"/>
        </w:rPr>
      </w:pPr>
    </w:p>
    <w:p w:rsidR="003B401C" w:rsidRDefault="003B401C">
      <w:pPr>
        <w:ind w:left="184" w:hangingChars="100" w:hanging="184"/>
        <w:rPr>
          <w:sz w:val="18"/>
        </w:rPr>
      </w:pPr>
    </w:p>
    <w:p w:rsidR="003B401C" w:rsidRDefault="003B401C">
      <w:pPr>
        <w:ind w:firstLineChars="100" w:firstLine="204"/>
      </w:pPr>
    </w:p>
    <w:sectPr w:rsidR="003B401C">
      <w:pgSz w:w="11906" w:h="16838"/>
      <w:pgMar w:top="-1134" w:right="850" w:bottom="1134" w:left="850" w:header="1134" w:footer="0" w:gutter="0"/>
      <w:cols w:space="720"/>
      <w:docGrid w:type="linesAndChars" w:linePitch="303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E4" w:rsidRDefault="007C27E4">
      <w:r>
        <w:separator/>
      </w:r>
    </w:p>
  </w:endnote>
  <w:endnote w:type="continuationSeparator" w:id="0">
    <w:p w:rsidR="007C27E4" w:rsidRDefault="007C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E4" w:rsidRDefault="007C27E4">
      <w:r>
        <w:separator/>
      </w:r>
    </w:p>
  </w:footnote>
  <w:footnote w:type="continuationSeparator" w:id="0">
    <w:p w:rsidR="007C27E4" w:rsidRDefault="007C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3B401C"/>
    <w:rsid w:val="002D7552"/>
    <w:rsid w:val="003B401C"/>
    <w:rsid w:val="0047704B"/>
    <w:rsid w:val="007C27E4"/>
    <w:rsid w:val="00840E44"/>
    <w:rsid w:val="009F6967"/>
    <w:rsid w:val="00A125D6"/>
    <w:rsid w:val="00D44675"/>
    <w:rsid w:val="00F1795C"/>
    <w:rsid w:val="00F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92542-7149-4054-9F5A-1182D1D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sz w:val="18"/>
    </w:rPr>
  </w:style>
  <w:style w:type="character" w:customStyle="1" w:styleId="ac">
    <w:name w:val="吹き出し (文字)"/>
    <w:link w:val="ab"/>
    <w:rPr>
      <w:sz w:val="18"/>
    </w:rPr>
  </w:style>
  <w:style w:type="character" w:customStyle="1" w:styleId="10">
    <w:name w:val="見出し 1 (文字)"/>
    <w:link w:val="1"/>
    <w:rPr>
      <w:sz w:val="22"/>
    </w:rPr>
  </w:style>
  <w:style w:type="character" w:customStyle="1" w:styleId="20">
    <w:name w:val="見出し 2 (文字)"/>
    <w:link w:val="2"/>
  </w:style>
  <w:style w:type="character" w:customStyle="1" w:styleId="30">
    <w:name w:val="見出し 3 (文字)"/>
    <w:link w:val="3"/>
  </w:style>
  <w:style w:type="paragraph" w:customStyle="1" w:styleId="31">
    <w:name w:val="グリッド (表) 31"/>
    <w:basedOn w:val="1"/>
    <w:next w:val="a"/>
    <w:qFormat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color w:val="2E74B5"/>
      <w:sz w:val="32"/>
    </w:rPr>
  </w:style>
  <w:style w:type="paragraph" w:styleId="11">
    <w:name w:val="toc 1"/>
    <w:basedOn w:val="a"/>
    <w:next w:val="a"/>
  </w:style>
  <w:style w:type="character" w:styleId="ad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ae">
    <w:name w:val="Date"/>
    <w:basedOn w:val="a"/>
    <w:next w:val="a"/>
    <w:link w:val="af"/>
    <w:pPr>
      <w:overflowPunct/>
      <w:textAlignment w:val="auto"/>
    </w:pPr>
    <w:rPr>
      <w:rFonts w:ascii="Century" w:hAnsi="Century"/>
      <w:kern w:val="2"/>
      <w:sz w:val="22"/>
    </w:rPr>
  </w:style>
  <w:style w:type="character" w:customStyle="1" w:styleId="af">
    <w:name w:val="日付 (文字)"/>
    <w:link w:val="ae"/>
    <w:rPr>
      <w:rFonts w:ascii="Century" w:hAnsi="Century"/>
      <w:kern w:val="2"/>
      <w:sz w:val="22"/>
    </w:rPr>
  </w:style>
  <w:style w:type="paragraph" w:styleId="af0">
    <w:name w:val="List Paragraph"/>
    <w:basedOn w:val="a"/>
    <w:qFormat/>
    <w:pPr>
      <w:overflowPunct/>
      <w:ind w:leftChars="400" w:left="840"/>
      <w:textAlignment w:val="auto"/>
    </w:pPr>
    <w:rPr>
      <w:rFonts w:ascii="Century" w:hAnsi="Century"/>
      <w:kern w:val="2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sankan</cp:lastModifiedBy>
  <cp:revision>71</cp:revision>
  <cp:lastPrinted>2021-10-14T02:34:00Z</cp:lastPrinted>
  <dcterms:created xsi:type="dcterms:W3CDTF">2018-08-06T14:01:00Z</dcterms:created>
  <dcterms:modified xsi:type="dcterms:W3CDTF">2021-11-19T07:52:00Z</dcterms:modified>
</cp:coreProperties>
</file>